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7B" w:rsidRDefault="00F7007B" w:rsidP="00F7007B">
      <w:pPr>
        <w:pStyle w:val="ae"/>
        <w:ind w:left="0" w:right="-2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ON CONDITIONAL OPTIMIZATION OF THE RANDIMIZED PROJECTION AND PROJECTION-MESH FUNCTION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>L ALGORITHMS FOR NUMERICAL SOLUTION OF THE FREDHOLM INTEGRAL EQUATIONS OF THE SECOND KIND</w:t>
      </w:r>
    </w:p>
    <w:p w:rsidR="00D70680" w:rsidRPr="00F7007B" w:rsidRDefault="00D70680" w:rsidP="004F15EB">
      <w:pPr>
        <w:pStyle w:val="aa"/>
        <w:rPr>
          <w:lang w:val="en-US"/>
        </w:rPr>
      </w:pPr>
    </w:p>
    <w:p w:rsidR="000417EE" w:rsidRPr="00F7007B" w:rsidRDefault="00E705A4" w:rsidP="00F7007B">
      <w:pPr>
        <w:pStyle w:val="ae"/>
        <w:ind w:left="0" w:right="-2"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Shipilov</w:t>
      </w:r>
      <w:proofErr w:type="spellEnd"/>
      <w:r>
        <w:rPr>
          <w:sz w:val="28"/>
          <w:szCs w:val="28"/>
          <w:lang w:val="en-US"/>
        </w:rPr>
        <w:t xml:space="preserve"> N.M., </w:t>
      </w:r>
      <w:bookmarkStart w:id="0" w:name="_GoBack"/>
      <w:bookmarkEnd w:id="0"/>
      <w:r w:rsidR="00F7007B" w:rsidRPr="00F7007B">
        <w:rPr>
          <w:sz w:val="28"/>
          <w:szCs w:val="28"/>
          <w:lang w:val="en-US"/>
        </w:rPr>
        <w:t>Voytishek A.V.</w:t>
      </w:r>
      <w:r w:rsidR="007F3E60" w:rsidRPr="004F15EB">
        <w:rPr>
          <w:rStyle w:val="a9"/>
        </w:rPr>
        <w:footnoteReference w:id="1"/>
      </w:r>
    </w:p>
    <w:p w:rsidR="00D70680" w:rsidRPr="004F15EB" w:rsidRDefault="00D70680" w:rsidP="00F7007B">
      <w:pPr>
        <w:pStyle w:val="1"/>
        <w:numPr>
          <w:ilvl w:val="0"/>
          <w:numId w:val="0"/>
        </w:numPr>
      </w:pPr>
    </w:p>
    <w:p w:rsidR="00F7007B" w:rsidRPr="00F7007B" w:rsidRDefault="00F7007B" w:rsidP="00F7007B">
      <w:pPr>
        <w:rPr>
          <w:lang w:eastAsia="en-GB"/>
        </w:rPr>
      </w:pPr>
      <w:r>
        <w:rPr>
          <w:lang w:eastAsia="en-GB"/>
        </w:rPr>
        <w:t xml:space="preserve">   </w:t>
      </w:r>
      <w:r>
        <w:rPr>
          <w:lang w:val="en-US"/>
        </w:rPr>
        <w:t xml:space="preserve">This talk continues the investigations of the paper [1], in which </w:t>
      </w:r>
      <w:r w:rsidRPr="00565633">
        <w:rPr>
          <w:lang w:val="en-US"/>
        </w:rPr>
        <w:t xml:space="preserve">the systematization of numerical (implemented on a computer) randomized functional algorithms for approximation of a solution of </w:t>
      </w:r>
      <w:proofErr w:type="spellStart"/>
      <w:r w:rsidRPr="00565633">
        <w:rPr>
          <w:lang w:val="en-US"/>
        </w:rPr>
        <w:t>Fredholm</w:t>
      </w:r>
      <w:proofErr w:type="spellEnd"/>
      <w:r w:rsidRPr="00565633">
        <w:rPr>
          <w:lang w:val="en-US"/>
        </w:rPr>
        <w:t xml:space="preserve"> integral equation of the second kind is carried out. Wherein, three types of such algorithms </w:t>
      </w:r>
      <w:proofErr w:type="gramStart"/>
      <w:r w:rsidRPr="00565633">
        <w:rPr>
          <w:lang w:val="en-US"/>
        </w:rPr>
        <w:t>are distinguished</w:t>
      </w:r>
      <w:proofErr w:type="gramEnd"/>
      <w:r w:rsidRPr="00565633">
        <w:rPr>
          <w:lang w:val="en-US"/>
        </w:rPr>
        <w:t xml:space="preserve">: </w:t>
      </w:r>
      <w:r w:rsidRPr="006A7FC8">
        <w:rPr>
          <w:i/>
          <w:lang w:val="en-US"/>
        </w:rPr>
        <w:t>the projection, the mesh</w:t>
      </w:r>
      <w:r w:rsidRPr="00565633">
        <w:rPr>
          <w:lang w:val="en-US"/>
        </w:rPr>
        <w:t xml:space="preserve"> and </w:t>
      </w:r>
      <w:r w:rsidRPr="006A7FC8">
        <w:rPr>
          <w:i/>
          <w:lang w:val="en-US"/>
        </w:rPr>
        <w:t>the projection-mesh methods</w:t>
      </w:r>
      <w:r w:rsidRPr="00565633">
        <w:rPr>
          <w:lang w:val="en-US"/>
        </w:rPr>
        <w:t xml:space="preserve">. </w:t>
      </w:r>
    </w:p>
    <w:p w:rsidR="00F7007B" w:rsidRDefault="00F7007B" w:rsidP="00F7007B">
      <w:pPr>
        <w:shd w:val="clear" w:color="auto" w:fill="FFFFFF"/>
        <w:rPr>
          <w:lang w:val="en-US"/>
        </w:rPr>
      </w:pPr>
      <w:r>
        <w:rPr>
          <w:lang w:val="en-US"/>
        </w:rPr>
        <w:t xml:space="preserve">   In the paper [1], t</w:t>
      </w:r>
      <w:r w:rsidRPr="00565633">
        <w:rPr>
          <w:lang w:val="en-US"/>
        </w:rPr>
        <w:t>he possibilities for usage of these algorithms for solution of p</w:t>
      </w:r>
      <w:r>
        <w:rPr>
          <w:lang w:val="en-US"/>
        </w:rPr>
        <w:t xml:space="preserve">ractically important problems </w:t>
      </w:r>
      <w:proofErr w:type="gramStart"/>
      <w:r>
        <w:rPr>
          <w:lang w:val="en-US"/>
        </w:rPr>
        <w:t>are</w:t>
      </w:r>
      <w:r w:rsidRPr="00565633">
        <w:rPr>
          <w:lang w:val="en-US"/>
        </w:rPr>
        <w:t xml:space="preserve"> investigated</w:t>
      </w:r>
      <w:proofErr w:type="gramEnd"/>
      <w:r w:rsidRPr="00565633">
        <w:rPr>
          <w:lang w:val="en-US"/>
        </w:rPr>
        <w:t xml:space="preserve"> in detail. The disadvantages of the mesh algorithms, related to the necessity of calculation values of the kernels of integral equations in fixed points, </w:t>
      </w:r>
      <w:proofErr w:type="gramStart"/>
      <w:r w:rsidRPr="00565633">
        <w:rPr>
          <w:lang w:val="en-US"/>
        </w:rPr>
        <w:t>are identified</w:t>
      </w:r>
      <w:proofErr w:type="gramEnd"/>
      <w:r w:rsidRPr="00565633">
        <w:rPr>
          <w:lang w:val="en-US"/>
        </w:rPr>
        <w:t xml:space="preserve">. On practice, these kernels have integrated singularities, and calculation of their values is impossible. </w:t>
      </w:r>
    </w:p>
    <w:p w:rsidR="00F7007B" w:rsidRDefault="00F7007B" w:rsidP="00F7007B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Pr="00565633">
        <w:rPr>
          <w:lang w:val="en-US"/>
        </w:rPr>
        <w:t xml:space="preserve">Thus, for applied problems, related to solving </w:t>
      </w:r>
      <w:proofErr w:type="spellStart"/>
      <w:r w:rsidRPr="00565633">
        <w:rPr>
          <w:lang w:val="en-US"/>
        </w:rPr>
        <w:t>Fredholm</w:t>
      </w:r>
      <w:proofErr w:type="spellEnd"/>
      <w:r w:rsidRPr="00565633">
        <w:rPr>
          <w:lang w:val="en-US"/>
        </w:rPr>
        <w:t xml:space="preserve"> integral equation of the second kind, it is expedient to use not mesh, but the projection and the projection-mesh randomized algorithms.</w:t>
      </w:r>
    </w:p>
    <w:p w:rsidR="00F7007B" w:rsidRDefault="00F7007B" w:rsidP="00F7007B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 xml:space="preserve">Nevertheless, as opposed to the </w:t>
      </w:r>
      <w:r>
        <w:rPr>
          <w:lang w:val="en-US"/>
        </w:rPr>
        <w:t xml:space="preserve">mesh methods, the usage of </w:t>
      </w:r>
      <w:r w:rsidRPr="006A7FC8">
        <w:rPr>
          <w:i/>
          <w:lang w:val="en-US"/>
        </w:rPr>
        <w:t>the theory of conditional optimization</w:t>
      </w:r>
      <w:r>
        <w:rPr>
          <w:lang w:val="en-US"/>
        </w:rPr>
        <w:t xml:space="preserve"> </w:t>
      </w:r>
      <w:r w:rsidRPr="006A7FC8">
        <w:rPr>
          <w:lang w:val="en-US"/>
        </w:rPr>
        <w:t>(see</w:t>
      </w:r>
      <w:r>
        <w:rPr>
          <w:lang w:val="en-US"/>
        </w:rPr>
        <w:t>, for example, [2]</w:t>
      </w:r>
      <w:r w:rsidRPr="006A7FC8">
        <w:rPr>
          <w:lang w:val="en-US"/>
        </w:rPr>
        <w:t>) for these algorithms is somewhat complicated.</w:t>
      </w:r>
    </w:p>
    <w:p w:rsidR="00F7007B" w:rsidRPr="006A7FC8" w:rsidRDefault="00F7007B" w:rsidP="00F7007B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>In this theory, the question is about the coordin</w:t>
      </w:r>
      <w:r>
        <w:rPr>
          <w:lang w:val="en-US"/>
        </w:rPr>
        <w:t xml:space="preserve">ated choice of the parameter </w:t>
      </w:r>
      <m:oMath>
        <m:r>
          <w:rPr>
            <w:rFonts w:ascii="Cambria Math" w:hAnsi="Cambria Math"/>
          </w:rPr>
          <m:t>M</m:t>
        </m:r>
      </m:oMath>
      <w:r>
        <w:rPr>
          <w:lang w:val="en-US"/>
        </w:rPr>
        <w:t xml:space="preserve"> (the number of the nodes or the basic functions) and the parameter </w:t>
      </w:r>
      <m:oMath>
        <m:r>
          <w:rPr>
            <w:rFonts w:ascii="Cambria Math" w:hAnsi="Cambria Math"/>
          </w:rPr>
          <m:t>N</m:t>
        </m:r>
      </m:oMath>
      <w:r w:rsidRPr="006A7FC8">
        <w:rPr>
          <w:lang w:val="en-US"/>
        </w:rPr>
        <w:t xml:space="preserve"> (the number of the trajectories of the applied Markov chain, simulated on a computer) for the implemented functional algorithms. These parameters must provide the given error level (designate it </w:t>
      </w:r>
      <w:proofErr w:type="gramStart"/>
      <w:r w:rsidRPr="006A7FC8">
        <w:rPr>
          <w:lang w:val="en-US"/>
        </w:rPr>
        <w:t xml:space="preserve">as </w:t>
      </w:r>
      <w:proofErr w:type="gramEnd"/>
      <m:oMath>
        <m:r>
          <w:rPr>
            <w:rFonts w:ascii="Cambria Math" w:hAnsi="Cambria Math"/>
          </w:rPr>
          <m:t>γ</m:t>
        </m:r>
      </m:oMath>
      <w:r w:rsidRPr="006A7FC8">
        <w:rPr>
          <w:lang w:val="en-US"/>
        </w:rPr>
        <w:t xml:space="preserve">) by the minimal computing expenditures </w:t>
      </w:r>
      <m:oMath>
        <m:r>
          <w:rPr>
            <w:rFonts w:ascii="Cambria Math" w:hAnsi="Cambria Math"/>
          </w:rPr>
          <m:t>S</m:t>
        </m:r>
      </m:oMath>
      <w:r w:rsidRPr="006A7FC8">
        <w:rPr>
          <w:lang w:val="en-US"/>
        </w:rPr>
        <w:t>.</w:t>
      </w:r>
    </w:p>
    <w:p w:rsidR="00F7007B" w:rsidRDefault="00F7007B" w:rsidP="00F7007B">
      <w:pPr>
        <w:rPr>
          <w:lang w:val="en-US"/>
        </w:rPr>
      </w:pPr>
      <w:r>
        <w:rPr>
          <w:lang w:val="en-US"/>
        </w:rPr>
        <w:lastRenderedPageBreak/>
        <w:t xml:space="preserve">   </w:t>
      </w:r>
      <w:r w:rsidRPr="006A7FC8">
        <w:rPr>
          <w:lang w:val="en-US"/>
        </w:rPr>
        <w:t xml:space="preserve">Construct the upper boundary </w:t>
      </w:r>
      <m:oMath>
        <m:r>
          <w:rPr>
            <w:rFonts w:ascii="Cambria Math" w:hAnsi="Cambria Math"/>
          </w:rPr>
          <m:t>UP</m:t>
        </m:r>
        <m:r>
          <w:rPr>
            <w:rFonts w:ascii="Cambria Math" w:hAnsi="Cambria Math"/>
            <w:lang w:val="en-US"/>
          </w:rPr>
          <m:t>(M,N)</m:t>
        </m:r>
      </m:oMath>
      <w:r w:rsidRPr="006A7FC8">
        <w:rPr>
          <w:lang w:val="en-US"/>
        </w:rPr>
        <w:t xml:space="preserve"> of the algorithm's </w:t>
      </w:r>
      <w:proofErr w:type="gramStart"/>
      <w:r w:rsidRPr="006A7FC8">
        <w:rPr>
          <w:lang w:val="en-US"/>
        </w:rPr>
        <w:t>error</w:t>
      </w:r>
      <w:r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)</m:t>
        </m:r>
      </m:oMath>
      <w:r w:rsidRPr="006A7FC8">
        <w:rPr>
          <w:lang w:val="en-US"/>
        </w:rPr>
        <w:t xml:space="preserve">, which depends on the parameters </w:t>
      </w:r>
      <m:oMath>
        <m:r>
          <w:rPr>
            <w:rFonts w:ascii="Cambria Math" w:hAnsi="Cambria Math"/>
          </w:rPr>
          <m:t>M</m:t>
        </m:r>
      </m:oMath>
      <w:r w:rsidRPr="006A7FC8">
        <w:rPr>
          <w:lang w:val="en-US"/>
        </w:rPr>
        <w:t xml:space="preserve"> and </w:t>
      </w:r>
      <m:oMath>
        <m:r>
          <w:rPr>
            <w:rFonts w:ascii="Cambria Math" w:hAnsi="Cambria Math"/>
          </w:rPr>
          <m:t>N</m:t>
        </m:r>
      </m:oMath>
      <w:r w:rsidRPr="006A7FC8">
        <w:rPr>
          <w:lang w:val="en-US"/>
        </w:rPr>
        <w:t>:</w:t>
      </w:r>
    </w:p>
    <w:p w:rsidR="00F7007B" w:rsidRPr="004166B6" w:rsidRDefault="00F7007B" w:rsidP="00F7007B">
      <w:pPr>
        <w:rPr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</w:rPr>
            <m:t>UP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                                     (1)</m:t>
          </m:r>
        </m:oMath>
      </m:oMathPara>
    </w:p>
    <w:p w:rsidR="00F7007B" w:rsidRDefault="00F7007B" w:rsidP="00F7007B">
      <w:pPr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 xml:space="preserve">This function of the two variables </w:t>
      </w:r>
      <w:r>
        <w:rPr>
          <w:lang w:val="en-US"/>
        </w:rPr>
        <w:t xml:space="preserve">is equated to the </w:t>
      </w:r>
      <w:proofErr w:type="gramStart"/>
      <w:r>
        <w:rPr>
          <w:lang w:val="en-US"/>
        </w:rPr>
        <w:t xml:space="preserve">value </w:t>
      </w:r>
      <w:proofErr w:type="gramEnd"/>
      <m:oMath>
        <m:r>
          <w:rPr>
            <w:rFonts w:ascii="Cambria Math" w:hAnsi="Cambria Math"/>
          </w:rPr>
          <m:t>γ</m:t>
        </m:r>
      </m:oMath>
      <w:r w:rsidRPr="006A7FC8">
        <w:rPr>
          <w:lang w:val="en-US"/>
        </w:rPr>
        <w:t>. From the equation of the form</w:t>
      </w:r>
    </w:p>
    <w:p w:rsidR="00F7007B" w:rsidRPr="004166B6" w:rsidRDefault="00F7007B" w:rsidP="00F7007B">
      <w:pPr>
        <w:rPr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UP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=γ                                                         (2)</m:t>
          </m:r>
        </m:oMath>
      </m:oMathPara>
    </w:p>
    <w:p w:rsidR="00F7007B" w:rsidRDefault="00F7007B" w:rsidP="00F7007B">
      <w:pPr>
        <w:rPr>
          <w:lang w:val="en-US"/>
        </w:rPr>
      </w:pPr>
      <w:proofErr w:type="gramStart"/>
      <w:r w:rsidRPr="006A7FC8">
        <w:rPr>
          <w:lang w:val="en-US"/>
        </w:rPr>
        <w:t>one</w:t>
      </w:r>
      <w:proofErr w:type="gramEnd"/>
      <w:r w:rsidRPr="006A7FC8">
        <w:rPr>
          <w:lang w:val="en-US"/>
        </w:rPr>
        <w:t xml:space="preserve"> of </w:t>
      </w:r>
      <w:r>
        <w:rPr>
          <w:lang w:val="en-US"/>
        </w:rPr>
        <w:t xml:space="preserve">the parameters (for example, </w:t>
      </w:r>
      <m:oMath>
        <m:r>
          <w:rPr>
            <w:rFonts w:ascii="Cambria Math" w:hAnsi="Cambria Math"/>
          </w:rPr>
          <m:t>N</m:t>
        </m:r>
      </m:oMath>
      <w:r w:rsidRPr="006A7FC8">
        <w:rPr>
          <w:lang w:val="en-US"/>
        </w:rPr>
        <w:t xml:space="preserve">) presents in terms of </w:t>
      </w:r>
      <w:r>
        <w:rPr>
          <w:lang w:val="en-US"/>
        </w:rPr>
        <w:t xml:space="preserve">the other parameter: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=ψ(M)</m:t>
        </m:r>
      </m:oMath>
      <w:r w:rsidRPr="006A7FC8">
        <w:rPr>
          <w:lang w:val="en-US"/>
        </w:rPr>
        <w:t>.</w:t>
      </w:r>
    </w:p>
    <w:p w:rsidR="00F7007B" w:rsidRDefault="00F7007B" w:rsidP="00F7007B">
      <w:pPr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>This ratio is substituted into the expressi</w:t>
      </w:r>
      <w:r>
        <w:rPr>
          <w:lang w:val="en-US"/>
        </w:rPr>
        <w:t xml:space="preserve">on for the expenditures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N</m:t>
            </m:r>
          </m:e>
        </m:d>
      </m:oMath>
      <w:r w:rsidRPr="006A7FC8">
        <w:rPr>
          <w:lang w:val="en-US"/>
        </w:rPr>
        <w:t xml:space="preserve"> (which is also depe</w:t>
      </w:r>
      <w:r>
        <w:rPr>
          <w:lang w:val="en-US"/>
        </w:rPr>
        <w:t xml:space="preserve">nds on the parameters </w:t>
      </w:r>
      <m:oMath>
        <m:r>
          <w:rPr>
            <w:rFonts w:ascii="Cambria Math" w:hAnsi="Cambria Math"/>
            <w:lang w:val="en-US"/>
          </w:rPr>
          <m:t>M</m:t>
        </m:r>
      </m:oMath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</w:t>
      </w:r>
      <w:proofErr w:type="gramEnd"/>
      <m:oMath>
        <m:r>
          <w:rPr>
            <w:rFonts w:ascii="Cambria Math" w:hAnsi="Cambria Math"/>
            <w:lang w:val="en-US"/>
          </w:rPr>
          <m:t>N</m:t>
        </m:r>
      </m:oMath>
      <w:r w:rsidRPr="006A7FC8">
        <w:rPr>
          <w:lang w:val="en-US"/>
        </w:rPr>
        <w:t xml:space="preserve">; as a rule,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en-US"/>
          </w:rPr>
          <m:t>=H×M×N;H=</m:t>
        </m:r>
        <m:r>
          <m:rPr>
            <m:sty m:val="p"/>
          </m:rPr>
          <w:rPr>
            <w:rFonts w:ascii="Cambria Math" w:hAnsi="Cambria Math"/>
            <w:lang w:val="en-US"/>
          </w:rPr>
          <m:t>const</m:t>
        </m:r>
      </m:oMath>
      <w:r w:rsidRPr="006A7FC8">
        <w:rPr>
          <w:lang w:val="en-US"/>
        </w:rPr>
        <w:t>). As the result, we</w:t>
      </w:r>
      <w:r>
        <w:rPr>
          <w:lang w:val="en-US"/>
        </w:rPr>
        <w:t xml:space="preserve"> get the function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>
        <w:rPr>
          <w:lang w:val="en-US"/>
        </w:rPr>
        <w:t xml:space="preserve"> on the one variable </w:t>
      </w:r>
      <m:oMath>
        <m:r>
          <w:rPr>
            <w:rFonts w:ascii="Cambria Math" w:hAnsi="Cambria Math"/>
          </w:rPr>
          <m:t>M</m:t>
        </m:r>
      </m:oMath>
      <w:r w:rsidRPr="006A7FC8">
        <w:rPr>
          <w:lang w:val="en-US"/>
        </w:rPr>
        <w:t xml:space="preserve"> and investigate this function for minimum with the help of the well-known methods of mathematical or numerical analysis.</w:t>
      </w:r>
    </w:p>
    <w:p w:rsidR="00F7007B" w:rsidRDefault="00F7007B" w:rsidP="00F7007B">
      <w:pPr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 xml:space="preserve">The defined values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γ</m:t>
            </m:r>
          </m:e>
        </m:d>
        <m:r>
          <w:rPr>
            <w:rFonts w:ascii="Cambria Math" w:hAnsi="Cambria Math"/>
            <w:lang w:val="en-US"/>
          </w:rPr>
          <m:t>, N=ψ(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γ</m:t>
            </m:r>
          </m:e>
        </m:d>
        <m: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 xml:space="preserve"> </w:t>
      </w:r>
      <w:proofErr w:type="gramStart"/>
      <w:r>
        <w:rPr>
          <w:lang w:val="en-US"/>
        </w:rPr>
        <w:t>are named</w:t>
      </w:r>
      <w:proofErr w:type="gramEnd"/>
      <w:r>
        <w:rPr>
          <w:lang w:val="en-US"/>
        </w:rPr>
        <w:t xml:space="preserve"> as </w:t>
      </w:r>
      <w:r w:rsidRPr="001476BF">
        <w:rPr>
          <w:i/>
          <w:lang w:val="en-US"/>
        </w:rPr>
        <w:t>the conditionally optimal parameters</w:t>
      </w:r>
      <w:r w:rsidRPr="006A7FC8">
        <w:rPr>
          <w:lang w:val="en-US"/>
        </w:rPr>
        <w:t xml:space="preserve"> of the model (algorithm). The ``conditionally'' of this optimization technique is related to the fact that in the left-hand side</w:t>
      </w:r>
      <w:r>
        <w:rPr>
          <w:lang w:val="en-US"/>
        </w:rPr>
        <w:t xml:space="preserve"> of the equation of the form (</w:t>
      </w:r>
      <w:r w:rsidRPr="006A7FC8">
        <w:rPr>
          <w:lang w:val="en-US"/>
        </w:rPr>
        <w:t>2) we use not the</w:t>
      </w:r>
      <w:r>
        <w:rPr>
          <w:lang w:val="en-US"/>
        </w:rPr>
        <w:t xml:space="preserve"> algorithm's error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)</m:t>
        </m:r>
      </m:oMath>
      <w:r w:rsidRPr="006A7FC8">
        <w:rPr>
          <w:lang w:val="en-US"/>
        </w:rPr>
        <w:t xml:space="preserve"> itself b</w:t>
      </w:r>
      <w:r>
        <w:rPr>
          <w:lang w:val="en-US"/>
        </w:rPr>
        <w:t xml:space="preserve">ut it's upper boundary </w:t>
      </w:r>
      <m:oMath>
        <m:r>
          <w:rPr>
            <w:rFonts w:ascii="Cambria Math" w:hAnsi="Cambria Math"/>
          </w:rPr>
          <m:t>UP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)</m:t>
        </m:r>
      </m:oMath>
      <w:r w:rsidRPr="006A7FC8">
        <w:rPr>
          <w:lang w:val="en-US"/>
        </w:rPr>
        <w:t xml:space="preserve"> (may be, this boundary is inexact, rough</w:t>
      </w:r>
      <w:proofErr w:type="gramStart"/>
      <w:r w:rsidRPr="006A7FC8">
        <w:rPr>
          <w:lang w:val="en-US"/>
        </w:rPr>
        <w:t>?!</w:t>
      </w:r>
      <w:proofErr w:type="gramEnd"/>
      <w:r w:rsidRPr="006A7FC8">
        <w:rPr>
          <w:lang w:val="en-US"/>
        </w:rPr>
        <w:t>).</w:t>
      </w:r>
    </w:p>
    <w:p w:rsidR="00F7007B" w:rsidRDefault="00F7007B" w:rsidP="00F7007B">
      <w:pPr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>The difficulties for the conducting of such reasoning for the projection methods are related to the</w:t>
      </w:r>
      <w:r>
        <w:rPr>
          <w:lang w:val="en-US"/>
        </w:rPr>
        <w:t xml:space="preserve"> existence of the ``tails'' </w:t>
      </w:r>
      <w:r w:rsidRPr="006A7FC8">
        <w:rPr>
          <w:lang w:val="en-US"/>
        </w:rPr>
        <w:t xml:space="preserve">of the infinite orthogonal function systems and the necessity of their estimation for construction of the error </w:t>
      </w:r>
      <w:r>
        <w:rPr>
          <w:lang w:val="en-US"/>
        </w:rPr>
        <w:t>upper boundaries of the form (</w:t>
      </w:r>
      <w:r w:rsidRPr="006A7FC8">
        <w:rPr>
          <w:lang w:val="en-US"/>
        </w:rPr>
        <w:t>1).</w:t>
      </w:r>
    </w:p>
    <w:p w:rsidR="00F7007B" w:rsidRPr="00F7007B" w:rsidRDefault="00F7007B" w:rsidP="003B5810">
      <w:pPr>
        <w:rPr>
          <w:lang w:val="en-US"/>
        </w:rPr>
      </w:pPr>
      <w:r>
        <w:rPr>
          <w:lang w:val="en-US"/>
        </w:rPr>
        <w:t xml:space="preserve">   </w:t>
      </w:r>
      <w:r w:rsidRPr="006A7FC8">
        <w:rPr>
          <w:lang w:val="en-US"/>
        </w:rPr>
        <w:t>In this sense, it is rather more simple (and, possibly, effective) to use the projection-mes</w:t>
      </w:r>
      <w:r>
        <w:rPr>
          <w:lang w:val="en-US"/>
        </w:rPr>
        <w:t>h methods</w:t>
      </w:r>
      <w:r w:rsidRPr="006A7FC8">
        <w:rPr>
          <w:lang w:val="en-US"/>
        </w:rPr>
        <w:t>, for which the search for the conditionally optimal parameters is not to</w:t>
      </w:r>
      <w:r>
        <w:rPr>
          <w:lang w:val="en-US"/>
        </w:rPr>
        <w:t>o complicated problem [3]</w:t>
      </w:r>
      <w:r w:rsidRPr="006A7FC8">
        <w:rPr>
          <w:lang w:val="en-US"/>
        </w:rPr>
        <w:t>.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70680" w:rsidRPr="00F7007B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[1]</w:t>
      </w:r>
      <w:r>
        <w:rPr>
          <w:lang w:eastAsia="en-GB"/>
        </w:rPr>
        <w:tab/>
      </w:r>
      <w:proofErr w:type="spellStart"/>
      <w:r w:rsidR="00F7007B" w:rsidRPr="00F7007B">
        <w:rPr>
          <w:lang w:val="en-US"/>
        </w:rPr>
        <w:t>Voytishek</w:t>
      </w:r>
      <w:proofErr w:type="spellEnd"/>
      <w:r w:rsidR="00F7007B" w:rsidRPr="00F7007B">
        <w:rPr>
          <w:lang w:val="en-US"/>
        </w:rPr>
        <w:t xml:space="preserve"> A.V., </w:t>
      </w:r>
      <w:proofErr w:type="spellStart"/>
      <w:r w:rsidR="00F7007B" w:rsidRPr="00F7007B">
        <w:rPr>
          <w:lang w:val="en-US"/>
        </w:rPr>
        <w:t>Shipilov</w:t>
      </w:r>
      <w:proofErr w:type="spellEnd"/>
      <w:r w:rsidR="00F7007B" w:rsidRPr="00F7007B">
        <w:rPr>
          <w:lang w:val="en-US"/>
        </w:rPr>
        <w:t xml:space="preserve"> N.M. On randomized algorithms for numerical solution of applied </w:t>
      </w:r>
      <w:proofErr w:type="spellStart"/>
      <w:r w:rsidR="00F7007B" w:rsidRPr="00F7007B">
        <w:rPr>
          <w:lang w:val="en-US"/>
        </w:rPr>
        <w:t>Fredholm</w:t>
      </w:r>
      <w:proofErr w:type="spellEnd"/>
      <w:r w:rsidR="00F7007B" w:rsidRPr="00F7007B">
        <w:rPr>
          <w:lang w:val="en-US"/>
        </w:rPr>
        <w:t xml:space="preserve"> integral equations of the second kind // AIP Conference Proceedings 1907, 030015 (2017).</w:t>
      </w:r>
    </w:p>
    <w:p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[2]</w:t>
      </w:r>
      <w:r>
        <w:rPr>
          <w:lang w:eastAsia="en-GB"/>
        </w:rPr>
        <w:tab/>
      </w:r>
      <w:proofErr w:type="spellStart"/>
      <w:r w:rsidR="00F7007B" w:rsidRPr="00F7007B">
        <w:rPr>
          <w:lang w:val="en-US"/>
        </w:rPr>
        <w:t>Mikhailov</w:t>
      </w:r>
      <w:proofErr w:type="spellEnd"/>
      <w:r w:rsidR="00F7007B" w:rsidRPr="00F7007B">
        <w:rPr>
          <w:lang w:val="en-US"/>
        </w:rPr>
        <w:t xml:space="preserve"> G.A., </w:t>
      </w:r>
      <w:proofErr w:type="spellStart"/>
      <w:r w:rsidR="00F7007B" w:rsidRPr="00F7007B">
        <w:rPr>
          <w:lang w:val="en-US"/>
        </w:rPr>
        <w:t>Voytishek</w:t>
      </w:r>
      <w:proofErr w:type="spellEnd"/>
      <w:r w:rsidR="00F7007B" w:rsidRPr="00F7007B">
        <w:rPr>
          <w:lang w:val="en-US"/>
        </w:rPr>
        <w:t xml:space="preserve"> A.V. Numerical Statistical Modelling. Monte Carlo Methods. Moscow, </w:t>
      </w:r>
      <w:proofErr w:type="spellStart"/>
      <w:r w:rsidR="00F7007B" w:rsidRPr="00F7007B">
        <w:rPr>
          <w:lang w:val="en-US"/>
        </w:rPr>
        <w:t>Akademia</w:t>
      </w:r>
      <w:proofErr w:type="spellEnd"/>
      <w:r w:rsidR="00F7007B" w:rsidRPr="00F7007B">
        <w:rPr>
          <w:lang w:val="en-US"/>
        </w:rPr>
        <w:t>, 2006 [In Russian].</w:t>
      </w:r>
    </w:p>
    <w:p w:rsidR="00D70680" w:rsidRPr="00D70680" w:rsidRDefault="00D70680" w:rsidP="00F700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[3]</w:t>
      </w:r>
      <w:r>
        <w:rPr>
          <w:lang w:eastAsia="en-GB"/>
        </w:rPr>
        <w:tab/>
      </w:r>
      <w:proofErr w:type="spellStart"/>
      <w:r w:rsidR="00F7007B" w:rsidRPr="00F7007B">
        <w:rPr>
          <w:lang w:val="en-US"/>
        </w:rPr>
        <w:t>Voytishek</w:t>
      </w:r>
      <w:proofErr w:type="spellEnd"/>
      <w:r w:rsidR="00F7007B" w:rsidRPr="00F7007B">
        <w:rPr>
          <w:lang w:val="en-US"/>
        </w:rPr>
        <w:t xml:space="preserve"> A.V. Functional Estimators of the Monte Carlo Method. Novosibirsk: NSU, 2007 [In Russian].</w:t>
      </w:r>
    </w:p>
    <w:sectPr w:rsidR="00D70680" w:rsidRPr="00D7068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97" w:rsidRDefault="00106397" w:rsidP="00D70680">
      <w:pPr>
        <w:spacing w:after="0" w:line="240" w:lineRule="auto"/>
      </w:pPr>
      <w:r>
        <w:separator/>
      </w:r>
    </w:p>
  </w:endnote>
  <w:endnote w:type="continuationSeparator" w:id="0">
    <w:p w:rsidR="00106397" w:rsidRDefault="00106397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97" w:rsidRDefault="00106397" w:rsidP="00D70680">
      <w:pPr>
        <w:spacing w:after="0" w:line="240" w:lineRule="auto"/>
      </w:pPr>
      <w:r>
        <w:separator/>
      </w:r>
    </w:p>
  </w:footnote>
  <w:footnote w:type="continuationSeparator" w:id="0">
    <w:p w:rsidR="00106397" w:rsidRDefault="00106397" w:rsidP="00D70680">
      <w:pPr>
        <w:spacing w:after="0" w:line="240" w:lineRule="auto"/>
      </w:pPr>
      <w:r>
        <w:continuationSeparator/>
      </w:r>
    </w:p>
  </w:footnote>
  <w:footnote w:id="1">
    <w:p w:rsidR="00F7007B" w:rsidRPr="00F7007B" w:rsidRDefault="007F3E60" w:rsidP="00F7007B">
      <w:pPr>
        <w:pStyle w:val="11"/>
        <w:ind w:right="-2"/>
        <w:jc w:val="both"/>
        <w:rPr>
          <w:rFonts w:ascii="Times New Roman" w:hAnsi="Times New Roman"/>
          <w:lang w:val="en-US"/>
        </w:rPr>
      </w:pPr>
      <w:r w:rsidRPr="0084782E">
        <w:rPr>
          <w:rStyle w:val="a9"/>
        </w:rPr>
        <w:footnoteRef/>
      </w:r>
      <w:r w:rsidRPr="00F7007B">
        <w:rPr>
          <w:lang w:val="en-US"/>
        </w:rPr>
        <w:t xml:space="preserve"> </w:t>
      </w:r>
      <w:r w:rsidR="00F7007B" w:rsidRPr="00F7007B">
        <w:rPr>
          <w:rFonts w:ascii="Times New Roman" w:hAnsi="Times New Roman"/>
          <w:lang w:val="en-US"/>
        </w:rPr>
        <w:t>Institute of Numerical Mathematics and Mathematical Geophysics of Siberian Division of Russian Academy of Sciences (</w:t>
      </w:r>
      <w:proofErr w:type="spellStart"/>
      <w:r w:rsidR="00F7007B" w:rsidRPr="00F7007B">
        <w:rPr>
          <w:rFonts w:ascii="Times New Roman" w:hAnsi="Times New Roman"/>
          <w:lang w:val="en-US"/>
        </w:rPr>
        <w:t>INMaMG</w:t>
      </w:r>
      <w:proofErr w:type="spellEnd"/>
      <w:r w:rsidR="00F7007B" w:rsidRPr="00F7007B">
        <w:rPr>
          <w:rFonts w:ascii="Times New Roman" w:hAnsi="Times New Roman"/>
          <w:lang w:val="en-US"/>
        </w:rPr>
        <w:t xml:space="preserve"> SD RAS); Novosibirsk State University; Russia; </w:t>
      </w:r>
      <w:r w:rsidR="00F7007B" w:rsidRPr="00F7007B">
        <w:rPr>
          <w:rFonts w:ascii="Times New Roman" w:hAnsi="Times New Roman"/>
          <w:lang w:val="en-US" w:eastAsia="en-GB"/>
        </w:rPr>
        <w:t>E-mail:</w:t>
      </w:r>
      <w:r w:rsidR="00F7007B">
        <w:rPr>
          <w:rFonts w:ascii="Times New Roman" w:hAnsi="Times New Roman"/>
          <w:lang w:val="en-US" w:eastAsia="en-GB"/>
        </w:rPr>
        <w:t xml:space="preserve"> </w:t>
      </w:r>
      <w:hyperlink r:id="rId1" w:history="1">
        <w:r w:rsidR="00F7007B" w:rsidRPr="00F7007B">
          <w:rPr>
            <w:rStyle w:val="af"/>
            <w:rFonts w:ascii="Times New Roman" w:hAnsi="Times New Roman"/>
            <w:lang w:val="en-US"/>
          </w:rPr>
          <w:t>vav@osmf.sscc.ru</w:t>
        </w:r>
      </w:hyperlink>
      <w:r w:rsidR="00F7007B" w:rsidRPr="00F7007B">
        <w:rPr>
          <w:rFonts w:ascii="Times New Roman" w:hAnsi="Times New Roman"/>
          <w:lang w:val="en-US"/>
        </w:rPr>
        <w:t xml:space="preserve"> </w:t>
      </w:r>
    </w:p>
    <w:p w:rsidR="007F3E60" w:rsidRPr="00F7007B" w:rsidRDefault="007F3E60" w:rsidP="00F7007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4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397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333FE"/>
    <w:rsid w:val="0054638E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47514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05A4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07B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C4AA"/>
  <w15:chartTrackingRefBased/>
  <w15:docId w15:val="{9A233378-DFBA-497A-96D1-AA2EED4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e">
    <w:name w:val="List Paragraph"/>
    <w:basedOn w:val="a"/>
    <w:uiPriority w:val="34"/>
    <w:qFormat/>
    <w:rsid w:val="00F7007B"/>
    <w:pPr>
      <w:spacing w:after="0" w:line="240" w:lineRule="auto"/>
      <w:ind w:left="720" w:firstLine="397"/>
      <w:contextualSpacing/>
    </w:pPr>
    <w:rPr>
      <w:rFonts w:eastAsia="Times New Roman"/>
      <w:sz w:val="24"/>
      <w:szCs w:val="24"/>
      <w:lang w:val="ru-RU" w:eastAsia="ru-RU"/>
    </w:rPr>
  </w:style>
  <w:style w:type="character" w:styleId="af">
    <w:name w:val="Hyperlink"/>
    <w:uiPriority w:val="99"/>
    <w:unhideWhenUsed/>
    <w:rsid w:val="00F7007B"/>
    <w:rPr>
      <w:color w:val="0000FF"/>
      <w:u w:val="single"/>
    </w:rPr>
  </w:style>
  <w:style w:type="paragraph" w:customStyle="1" w:styleId="11">
    <w:name w:val="Текст1"/>
    <w:basedOn w:val="a"/>
    <w:rsid w:val="00F7007B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v@osmf.ssc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Local\Temp\Temp1_template%20(1).zi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6523-206B-4017-80F4-FABBE1F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2018-02-26T10:08:00Z</dcterms:created>
  <dcterms:modified xsi:type="dcterms:W3CDTF">2018-03-26T11:36:00Z</dcterms:modified>
</cp:coreProperties>
</file>